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C7" w:rsidRPr="006C16CB" w:rsidRDefault="00FF16C7" w:rsidP="006C16CB">
      <w:pPr>
        <w:spacing w:before="120" w:after="120" w:line="420" w:lineRule="auto"/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</w:pPr>
      <w:r w:rsidRPr="006C16CB">
        <w:rPr>
          <w:rFonts w:ascii="Arial" w:eastAsia="Times New Roman" w:hAnsi="Arial" w:cs="Arial"/>
          <w:b/>
          <w:color w:val="000000"/>
          <w:sz w:val="30"/>
          <w:szCs w:val="30"/>
          <w:u w:val="single"/>
          <w:lang w:val="en-US" w:eastAsia="en-GB"/>
        </w:rPr>
        <w:t>Attainment and Progress</w:t>
      </w:r>
      <w:r w:rsidRPr="00FF16C7">
        <w:rPr>
          <w:rFonts w:ascii="Arial" w:eastAsia="Times New Roman" w:hAnsi="Arial" w:cs="Arial"/>
          <w:color w:val="000000"/>
          <w:sz w:val="33"/>
          <w:szCs w:val="33"/>
          <w:u w:val="single"/>
          <w:lang w:val="en-US" w:eastAsia="en-GB"/>
        </w:rPr>
        <w:br/>
      </w:r>
      <w:r w:rsidRP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There were no national data sets for primary schools in 2020. </w:t>
      </w:r>
      <w:r w:rsid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The most recent school p</w:t>
      </w:r>
      <w:r w:rsidR="00417DFA" w:rsidRP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erformance </w:t>
      </w:r>
      <w:r w:rsidRP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data</w:t>
      </w:r>
      <w:r w:rsid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set is for </w:t>
      </w:r>
      <w:r w:rsidR="006C16CB" w:rsidRP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the previous year.</w:t>
      </w:r>
    </w:p>
    <w:p w:rsidR="00FF16C7" w:rsidRPr="006C16CB" w:rsidRDefault="006C16CB" w:rsidP="00FF16C7">
      <w:pPr>
        <w:spacing w:before="300" w:after="0" w:line="42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</w:pPr>
      <w:r w:rsidRPr="006C16CB">
        <w:rPr>
          <w:rFonts w:ascii="Arial" w:eastAsia="Times New Roman" w:hAnsi="Arial" w:cs="Arial"/>
          <w:b/>
          <w:color w:val="000000"/>
          <w:sz w:val="28"/>
          <w:szCs w:val="28"/>
          <w:lang w:val="en-US" w:eastAsia="en-GB"/>
        </w:rPr>
        <w:t>2019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 xml:space="preserve"> </w:t>
      </w:r>
      <w:r w:rsidR="00FF16C7" w:rsidRPr="006C16CB">
        <w:rPr>
          <w:rFonts w:ascii="Arial" w:eastAsia="Times New Roman" w:hAnsi="Arial" w:cs="Arial"/>
          <w:color w:val="000000"/>
          <w:sz w:val="28"/>
          <w:szCs w:val="28"/>
          <w:lang w:val="en-US" w:eastAsia="en-GB"/>
        </w:rPr>
        <w:t xml:space="preserve">Y1 Phonics check – Cohort 22 – Each child = 4.5% </w:t>
      </w:r>
    </w:p>
    <w:p w:rsidR="00FF16C7" w:rsidRPr="0058664E" w:rsidRDefault="00FF16C7" w:rsidP="00FF16C7">
      <w:pPr>
        <w:numPr>
          <w:ilvl w:val="0"/>
          <w:numId w:val="1"/>
        </w:numPr>
        <w:spacing w:before="300" w:beforeAutospacing="1" w:after="0" w:afterAutospacing="1" w:line="420" w:lineRule="auto"/>
        <w:ind w:left="300" w:right="75"/>
        <w:outlineLvl w:val="2"/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2019 - 100% achieved the expected standard 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2019</w:t>
      </w:r>
      <w:r w:rsidRPr="00AD61C8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proofErr w:type="gramStart"/>
      <w:r w:rsidR="006C16C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-  </w:t>
      </w:r>
      <w:r w:rsidRPr="00AD61C8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L.A</w:t>
      </w:r>
      <w:proofErr w:type="gramEnd"/>
      <w:r w:rsidRPr="00AD61C8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8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4</w:t>
      </w:r>
      <w:r w:rsidRPr="00AD61C8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%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 2019 Nat. 82</w:t>
      </w:r>
      <w:r w:rsidRPr="00AD61C8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%.</w:t>
      </w:r>
    </w:p>
    <w:p w:rsidR="00FF16C7" w:rsidRPr="00AD61C8" w:rsidRDefault="00FF16C7" w:rsidP="00FF16C7">
      <w:pPr>
        <w:spacing w:before="300" w:beforeAutospacing="1" w:after="0" w:afterAutospacing="1" w:line="420" w:lineRule="auto"/>
        <w:ind w:left="300" w:right="75"/>
        <w:outlineLvl w:val="2"/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Of the five children that took the phonics again in Year Two, 40% passed the re-sit with all children attaining better than the previous year by, on average, 14 words</w:t>
      </w:r>
    </w:p>
    <w:p w:rsidR="00FF16C7" w:rsidRPr="00AD61C8" w:rsidRDefault="006C16CB" w:rsidP="00FF16C7">
      <w:pPr>
        <w:spacing w:before="300" w:beforeAutospacing="1" w:after="0" w:afterAutospacing="1" w:line="420" w:lineRule="auto"/>
        <w:ind w:right="75"/>
        <w:outlineLvl w:val="2"/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</w:pPr>
      <w:r w:rsidRPr="006C16CB">
        <w:rPr>
          <w:rFonts w:ascii="Arial" w:eastAsia="Times New Roman" w:hAnsi="Arial" w:cs="Arial"/>
          <w:b/>
          <w:color w:val="000000"/>
          <w:sz w:val="30"/>
          <w:szCs w:val="30"/>
          <w:lang w:val="en-US" w:eastAsia="en-GB"/>
        </w:rPr>
        <w:t>2019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  <w:t xml:space="preserve"> </w:t>
      </w:r>
      <w:r w:rsidR="00FF16C7"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  <w:t>Key Stage One – Cohort 31- Each child = 3.2</w:t>
      </w:r>
      <w:r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  <w:br/>
      </w:r>
      <w:r w:rsidR="00FF16C7"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  <w:br/>
        <w:t xml:space="preserve">                                            </w:t>
      </w:r>
      <w:r w:rsidR="00FF16C7">
        <w:rPr>
          <w:rFonts w:ascii="Arial" w:eastAsia="Times New Roman" w:hAnsi="Arial" w:cs="Arial"/>
          <w:b/>
          <w:color w:val="000000"/>
          <w:lang w:val="en-US" w:eastAsia="en-GB"/>
        </w:rPr>
        <w:t>2019</w:t>
      </w:r>
      <w:r w:rsidR="00FF16C7" w:rsidRPr="00AD61C8">
        <w:rPr>
          <w:rFonts w:ascii="Arial" w:eastAsia="Times New Roman" w:hAnsi="Arial" w:cs="Arial"/>
          <w:b/>
          <w:color w:val="000000"/>
          <w:lang w:val="en-US" w:eastAsia="en-GB"/>
        </w:rPr>
        <w:t xml:space="preserve">                        </w:t>
      </w:r>
      <w:r w:rsidR="00FF16C7">
        <w:rPr>
          <w:rFonts w:ascii="Arial" w:eastAsia="Times New Roman" w:hAnsi="Arial" w:cs="Arial"/>
          <w:b/>
          <w:color w:val="000000"/>
          <w:lang w:val="en-US" w:eastAsia="en-GB"/>
        </w:rPr>
        <w:t>2019</w:t>
      </w:r>
      <w:r w:rsidR="00FF16C7" w:rsidRPr="00AD61C8">
        <w:rPr>
          <w:rFonts w:ascii="Arial" w:eastAsia="Times New Roman" w:hAnsi="Arial" w:cs="Arial"/>
          <w:b/>
          <w:color w:val="000000"/>
          <w:lang w:val="en-US" w:eastAsia="en-GB"/>
        </w:rPr>
        <w:t xml:space="preserve"> </w:t>
      </w:r>
      <w:r w:rsidR="00FF16C7">
        <w:rPr>
          <w:rFonts w:ascii="Arial" w:eastAsia="Times New Roman" w:hAnsi="Arial" w:cs="Arial"/>
          <w:b/>
          <w:color w:val="000000"/>
          <w:lang w:val="en-US" w:eastAsia="en-GB"/>
        </w:rPr>
        <w:t xml:space="preserve">                  2019</w:t>
      </w:r>
      <w:r w:rsidR="00FF16C7">
        <w:rPr>
          <w:rFonts w:ascii="Arial" w:eastAsia="Times New Roman" w:hAnsi="Arial" w:cs="Arial"/>
          <w:color w:val="000000"/>
          <w:sz w:val="30"/>
          <w:szCs w:val="30"/>
          <w:lang w:val="en-US" w:eastAsia="en-GB"/>
        </w:rPr>
        <w:br/>
      </w:r>
      <w:proofErr w:type="gramStart"/>
      <w:r w:rsidR="00FF16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>At</w:t>
      </w:r>
      <w:proofErr w:type="gramEnd"/>
      <w:r w:rsidR="00FF16C7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 xml:space="preserve"> the standard or above</w:t>
      </w:r>
      <w:r w:rsidR="00FF16C7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              School           </w:t>
      </w:r>
      <w:r w:rsidR="00FF16C7"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Local Authori</w:t>
      </w:r>
      <w:r w:rsidR="00FF16C7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ty        National </w:t>
      </w:r>
    </w:p>
    <w:p w:rsidR="00FF16C7" w:rsidRPr="004D558D" w:rsidRDefault="00FF16C7" w:rsidP="00FF16C7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Reading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  <w:t xml:space="preserve"> 77%                        77%                    75%       </w:t>
      </w:r>
    </w:p>
    <w:p w:rsidR="00FF16C7" w:rsidRPr="004D558D" w:rsidRDefault="00FF16C7" w:rsidP="00FF16C7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Writing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  <w:t xml:space="preserve"> 74%                        74%                    69%   </w:t>
      </w:r>
    </w:p>
    <w:p w:rsidR="00FF16C7" w:rsidRPr="004D558D" w:rsidRDefault="00FF16C7" w:rsidP="00FF16C7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proofErr w:type="spellStart"/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Maths</w:t>
      </w:r>
      <w:proofErr w:type="spellEnd"/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                        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  <w:t xml:space="preserve"> 81</w:t>
      </w: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%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  79%                    76%      </w:t>
      </w:r>
    </w:p>
    <w:p w:rsidR="00FF16C7" w:rsidRPr="004D558D" w:rsidRDefault="00FF16C7" w:rsidP="00FF16C7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 </w:t>
      </w:r>
    </w:p>
    <w:p w:rsidR="00FF16C7" w:rsidRPr="004D558D" w:rsidRDefault="00FF16C7" w:rsidP="00FF16C7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 xml:space="preserve">At Greater depth     </w:t>
      </w:r>
      <w:r w:rsidRPr="004D558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> </w:t>
      </w: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                     School           Local Authority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  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National</w:t>
      </w:r>
    </w:p>
    <w:p w:rsidR="00FF16C7" w:rsidRPr="004D558D" w:rsidRDefault="00FF16C7" w:rsidP="00FF16C7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R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eading 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  <w:t xml:space="preserve">                       23%                        27%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   25%       </w:t>
      </w:r>
    </w:p>
    <w:p w:rsidR="00FF16C7" w:rsidRPr="004D558D" w:rsidRDefault="00FF16C7" w:rsidP="00FF16C7">
      <w:pPr>
        <w:spacing w:before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W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riting                        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  <w:t>13</w:t>
      </w:r>
      <w:r w:rsidRPr="004D558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%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             18%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 15%       </w:t>
      </w:r>
    </w:p>
    <w:p w:rsidR="00FF16C7" w:rsidRDefault="00FF16C7" w:rsidP="00FF16C7">
      <w:pPr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Maths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>                       </w:t>
      </w:r>
      <w:r>
        <w:rPr>
          <w:rFonts w:ascii="Arial" w:hAnsi="Arial" w:cs="Arial"/>
          <w:color w:val="000000"/>
          <w:sz w:val="23"/>
          <w:szCs w:val="23"/>
          <w:lang w:val="en-US"/>
        </w:rPr>
        <w:tab/>
      </w:r>
      <w:r>
        <w:rPr>
          <w:rFonts w:ascii="Arial" w:hAnsi="Arial" w:cs="Arial"/>
          <w:color w:val="000000"/>
          <w:sz w:val="23"/>
          <w:szCs w:val="23"/>
          <w:lang w:val="en-US"/>
        </w:rPr>
        <w:tab/>
        <w:t xml:space="preserve">           19%                         23%                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22%         </w:t>
      </w:r>
    </w:p>
    <w:p w:rsidR="006C16CB" w:rsidRDefault="006C16CB" w:rsidP="00FF16C7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:rsidR="006C16CB" w:rsidRDefault="006C16CB" w:rsidP="00FF16C7"/>
    <w:p w:rsidR="00E22F2A" w:rsidRPr="00417DFA" w:rsidRDefault="006C16CB" w:rsidP="00E22F2A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6C16CB">
        <w:rPr>
          <w:rFonts w:ascii="Arial" w:eastAsia="Times New Roman" w:hAnsi="Arial" w:cs="Arial"/>
          <w:b/>
          <w:color w:val="000000"/>
          <w:sz w:val="33"/>
          <w:szCs w:val="33"/>
          <w:lang w:val="en-US" w:eastAsia="en-GB"/>
        </w:rPr>
        <w:lastRenderedPageBreak/>
        <w:t>2019</w:t>
      </w:r>
      <w:r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 xml:space="preserve"> </w:t>
      </w:r>
      <w:r w:rsidR="00417DFA" w:rsidRPr="00417DFA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Key Stage 2</w:t>
      </w:r>
      <w:r w:rsidR="00A57E38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- Cohort 29</w:t>
      </w:r>
      <w:r w:rsidR="00E22F2A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 xml:space="preserve"> </w:t>
      </w:r>
      <w:r w:rsidR="00D60BDC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br/>
      </w:r>
      <w:r w:rsidR="00D60BD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1 pupil is equivalent to </w:t>
      </w:r>
      <w:r w:rsidR="00A57E38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3.</w:t>
      </w:r>
      <w:r w:rsidR="00D60BD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4</w:t>
      </w:r>
      <w:r w:rsidR="00E22F2A" w:rsidRPr="00417DF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%</w:t>
      </w:r>
    </w:p>
    <w:p w:rsidR="00417DFA" w:rsidRPr="00417DFA" w:rsidRDefault="00143777" w:rsidP="00417DFA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Comparative data from the 201</w:t>
      </w:r>
      <w:r w:rsidR="00A0409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9</w:t>
      </w:r>
      <w:r w:rsidR="00417DFA" w:rsidRPr="00417DF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Local Authority and National Figures.</w:t>
      </w:r>
    </w:p>
    <w:p w:rsidR="00417DFA" w:rsidRPr="00417DFA" w:rsidRDefault="00417DFA" w:rsidP="00417DFA">
      <w:pPr>
        <w:spacing w:before="300" w:line="42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417DF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Key Stage 2 </w:t>
      </w:r>
      <w:r w:rsidR="00D60BDC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‘</w:t>
      </w:r>
      <w:r w:rsidR="0014377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At</w:t>
      </w:r>
      <w:r w:rsidR="00D60BDC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’</w:t>
      </w:r>
      <w:r w:rsidR="0014377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the </w:t>
      </w:r>
      <w:r w:rsidR="00B0799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Expected </w:t>
      </w:r>
      <w:r w:rsidR="0014377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Standard</w:t>
      </w:r>
      <w:r w:rsidR="00D60BDC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(EXS)</w:t>
      </w:r>
      <w:r w:rsidRPr="00417DF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="00D60BDC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or </w:t>
      </w:r>
      <w:r w:rsidRPr="00417DF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Above:</w:t>
      </w:r>
    </w:p>
    <w:tbl>
      <w:tblPr>
        <w:tblW w:w="9792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2074"/>
        <w:gridCol w:w="2324"/>
        <w:gridCol w:w="2340"/>
      </w:tblGrid>
      <w:tr w:rsidR="00417DFA" w:rsidRPr="00417DFA" w:rsidTr="00FF16C7">
        <w:trPr>
          <w:trHeight w:val="956"/>
          <w:tblCellSpacing w:w="15" w:type="dxa"/>
        </w:trPr>
        <w:tc>
          <w:tcPr>
            <w:tcW w:w="3009" w:type="dxa"/>
            <w:vAlign w:val="center"/>
            <w:hideMark/>
          </w:tcPr>
          <w:p w:rsidR="00417DFA" w:rsidRPr="00417DFA" w:rsidRDefault="00417DFA" w:rsidP="004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044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School</w:t>
            </w:r>
            <w:r w:rsidR="00B0799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B0799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br/>
              <w:t>(2019)</w:t>
            </w:r>
          </w:p>
        </w:tc>
        <w:tc>
          <w:tcPr>
            <w:tcW w:w="2294" w:type="dxa"/>
            <w:vAlign w:val="center"/>
            <w:hideMark/>
          </w:tcPr>
          <w:p w:rsidR="00417DFA" w:rsidRPr="00417DFA" w:rsidRDefault="00A0409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Local Auth. (2019</w:t>
            </w:r>
            <w:r w:rsidR="00B0799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295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National</w:t>
            </w:r>
            <w:r w:rsidR="00A04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A04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br/>
              <w:t>(2019</w:t>
            </w:r>
            <w:r w:rsidR="00B0799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751FB0" w:rsidRPr="00751FB0" w:rsidTr="00FF16C7">
        <w:trPr>
          <w:trHeight w:val="1460"/>
          <w:tblCellSpacing w:w="15" w:type="dxa"/>
        </w:trPr>
        <w:tc>
          <w:tcPr>
            <w:tcW w:w="3009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Spelling, Punctuation &amp; </w:t>
            </w:r>
            <w:r w:rsidR="00D60B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Grammar</w:t>
            </w:r>
          </w:p>
        </w:tc>
        <w:tc>
          <w:tcPr>
            <w:tcW w:w="2044" w:type="dxa"/>
            <w:vAlign w:val="center"/>
            <w:hideMark/>
          </w:tcPr>
          <w:p w:rsidR="00417DFA" w:rsidRPr="00417DFA" w:rsidRDefault="00A0409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97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4" w:type="dxa"/>
            <w:vAlign w:val="center"/>
            <w:hideMark/>
          </w:tcPr>
          <w:p w:rsidR="00417DFA" w:rsidRPr="00417DFA" w:rsidRDefault="00A0409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81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5" w:type="dxa"/>
            <w:vAlign w:val="center"/>
            <w:hideMark/>
          </w:tcPr>
          <w:p w:rsidR="00417DFA" w:rsidRPr="00417DFA" w:rsidRDefault="00C4392D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78</w:t>
            </w:r>
            <w:r w:rsid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</w:tr>
      <w:tr w:rsidR="00417DFA" w:rsidRPr="00417DFA" w:rsidTr="00FF16C7">
        <w:trPr>
          <w:trHeight w:val="486"/>
          <w:tblCellSpacing w:w="15" w:type="dxa"/>
        </w:trPr>
        <w:tc>
          <w:tcPr>
            <w:tcW w:w="3009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Reading</w:t>
            </w:r>
          </w:p>
        </w:tc>
        <w:tc>
          <w:tcPr>
            <w:tcW w:w="2044" w:type="dxa"/>
            <w:vAlign w:val="center"/>
            <w:hideMark/>
          </w:tcPr>
          <w:p w:rsidR="00417DFA" w:rsidRPr="00417DFA" w:rsidRDefault="001D5355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93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4" w:type="dxa"/>
            <w:vAlign w:val="center"/>
            <w:hideMark/>
          </w:tcPr>
          <w:p w:rsidR="00417DFA" w:rsidRPr="00417DFA" w:rsidRDefault="00C4392D" w:rsidP="00A0409A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</w:t>
            </w:r>
            <w:r w:rsidR="00A04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5" w:type="dxa"/>
            <w:vAlign w:val="center"/>
            <w:hideMark/>
          </w:tcPr>
          <w:p w:rsidR="00417DFA" w:rsidRPr="00417DFA" w:rsidRDefault="00D60BDC" w:rsidP="00A0409A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</w:t>
            </w:r>
            <w:r w:rsidR="00A0409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</w:tr>
      <w:tr w:rsidR="00417DFA" w:rsidRPr="00417DFA" w:rsidTr="00FF16C7">
        <w:trPr>
          <w:trHeight w:val="486"/>
          <w:tblCellSpacing w:w="15" w:type="dxa"/>
        </w:trPr>
        <w:tc>
          <w:tcPr>
            <w:tcW w:w="3009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Writing</w:t>
            </w:r>
          </w:p>
        </w:tc>
        <w:tc>
          <w:tcPr>
            <w:tcW w:w="2044" w:type="dxa"/>
            <w:vAlign w:val="center"/>
            <w:hideMark/>
          </w:tcPr>
          <w:p w:rsidR="00417DFA" w:rsidRPr="00417DFA" w:rsidRDefault="001D5355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90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4" w:type="dxa"/>
            <w:vAlign w:val="center"/>
            <w:hideMark/>
          </w:tcPr>
          <w:p w:rsidR="00417DFA" w:rsidRPr="00417DFA" w:rsidRDefault="00C4392D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83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5" w:type="dxa"/>
            <w:vAlign w:val="center"/>
            <w:hideMark/>
          </w:tcPr>
          <w:p w:rsidR="00417DFA" w:rsidRPr="00417DFA" w:rsidRDefault="00C4392D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78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</w:tr>
      <w:tr w:rsidR="00417DFA" w:rsidRPr="00417DFA" w:rsidTr="00FF16C7">
        <w:trPr>
          <w:trHeight w:val="486"/>
          <w:tblCellSpacing w:w="15" w:type="dxa"/>
        </w:trPr>
        <w:tc>
          <w:tcPr>
            <w:tcW w:w="3009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Maths</w:t>
            </w:r>
          </w:p>
        </w:tc>
        <w:tc>
          <w:tcPr>
            <w:tcW w:w="2044" w:type="dxa"/>
            <w:vAlign w:val="center"/>
            <w:hideMark/>
          </w:tcPr>
          <w:p w:rsidR="00417DFA" w:rsidRPr="00417DFA" w:rsidRDefault="00A0409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97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4" w:type="dxa"/>
            <w:vAlign w:val="center"/>
            <w:hideMark/>
          </w:tcPr>
          <w:p w:rsidR="00417DFA" w:rsidRPr="00417DFA" w:rsidRDefault="00C4392D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80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5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</w:t>
            </w:r>
            <w:r w:rsidR="00C4392D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</w:t>
            </w: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</w:tr>
      <w:tr w:rsidR="00417DFA" w:rsidRPr="00417DFA" w:rsidTr="00FF16C7">
        <w:trPr>
          <w:trHeight w:val="470"/>
          <w:tblCellSpacing w:w="15" w:type="dxa"/>
        </w:trPr>
        <w:tc>
          <w:tcPr>
            <w:tcW w:w="3009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Science</w:t>
            </w:r>
            <w:r w:rsidR="00D60B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(TA)</w:t>
            </w:r>
          </w:p>
        </w:tc>
        <w:tc>
          <w:tcPr>
            <w:tcW w:w="2044" w:type="dxa"/>
            <w:vAlign w:val="center"/>
            <w:hideMark/>
          </w:tcPr>
          <w:p w:rsidR="00417DFA" w:rsidRPr="00417DFA" w:rsidRDefault="00A57E38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</w:t>
            </w:r>
            <w:r w:rsidR="001D535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4" w:type="dxa"/>
            <w:vAlign w:val="center"/>
            <w:hideMark/>
          </w:tcPr>
          <w:p w:rsidR="00417DFA" w:rsidRPr="00417DFA" w:rsidRDefault="00417DFA" w:rsidP="00B0799D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</w:t>
            </w:r>
            <w:r w:rsidR="00D60B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</w:t>
            </w: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295" w:type="dxa"/>
            <w:vAlign w:val="center"/>
            <w:hideMark/>
          </w:tcPr>
          <w:p w:rsidR="00417DFA" w:rsidRPr="00417DFA" w:rsidRDefault="00A0409A" w:rsidP="00A0409A">
            <w:pPr>
              <w:spacing w:after="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79</w:t>
            </w:r>
            <w:r w:rsidR="00417DFA"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%</w:t>
            </w:r>
          </w:p>
        </w:tc>
      </w:tr>
    </w:tbl>
    <w:tbl>
      <w:tblPr>
        <w:tblpPr w:leftFromText="180" w:rightFromText="180" w:vertAnchor="text" w:horzAnchor="page" w:tblpX="1006" w:tblpY="834"/>
        <w:tblW w:w="98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2190"/>
        <w:gridCol w:w="2453"/>
        <w:gridCol w:w="2453"/>
      </w:tblGrid>
      <w:tr w:rsidR="00FF16C7" w:rsidRPr="00751FB0" w:rsidTr="00FF16C7">
        <w:trPr>
          <w:trHeight w:val="1049"/>
          <w:tblCellSpacing w:w="15" w:type="dxa"/>
        </w:trPr>
        <w:tc>
          <w:tcPr>
            <w:tcW w:w="0" w:type="auto"/>
            <w:vAlign w:val="center"/>
            <w:hideMark/>
          </w:tcPr>
          <w:p w:rsidR="00FF16C7" w:rsidRPr="00751FB0" w:rsidRDefault="00FF16C7" w:rsidP="00FF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160" w:type="dxa"/>
            <w:vAlign w:val="center"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School 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br/>
              <w:t>(2019)</w:t>
            </w:r>
          </w:p>
        </w:tc>
        <w:tc>
          <w:tcPr>
            <w:tcW w:w="2423" w:type="dxa"/>
            <w:vAlign w:val="center"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Local Auth. (2019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408" w:type="dxa"/>
            <w:vAlign w:val="center"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National 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br/>
              <w:t>(201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9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)</w:t>
            </w:r>
          </w:p>
        </w:tc>
      </w:tr>
      <w:tr w:rsidR="00FF16C7" w:rsidRPr="00751FB0" w:rsidTr="00FF16C7">
        <w:trPr>
          <w:trHeight w:val="1557"/>
          <w:tblCellSpacing w:w="15" w:type="dxa"/>
        </w:trPr>
        <w:tc>
          <w:tcPr>
            <w:tcW w:w="0" w:type="auto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Spelling, Punctuation &amp; Grammar</w:t>
            </w:r>
          </w:p>
        </w:tc>
        <w:tc>
          <w:tcPr>
            <w:tcW w:w="2160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55%</w:t>
            </w:r>
          </w:p>
        </w:tc>
        <w:tc>
          <w:tcPr>
            <w:tcW w:w="2423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38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408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36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%</w:t>
            </w:r>
          </w:p>
        </w:tc>
      </w:tr>
      <w:tr w:rsidR="00FF16C7" w:rsidRPr="00751FB0" w:rsidTr="00FF16C7">
        <w:trPr>
          <w:trHeight w:val="523"/>
          <w:tblCellSpacing w:w="15" w:type="dxa"/>
        </w:trPr>
        <w:tc>
          <w:tcPr>
            <w:tcW w:w="0" w:type="auto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Reading</w:t>
            </w:r>
          </w:p>
        </w:tc>
        <w:tc>
          <w:tcPr>
            <w:tcW w:w="2160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48%</w:t>
            </w:r>
          </w:p>
        </w:tc>
        <w:tc>
          <w:tcPr>
            <w:tcW w:w="2423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29%</w:t>
            </w:r>
          </w:p>
        </w:tc>
        <w:tc>
          <w:tcPr>
            <w:tcW w:w="2408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7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%</w:t>
            </w:r>
          </w:p>
        </w:tc>
      </w:tr>
      <w:tr w:rsidR="00FF16C7" w:rsidRPr="00751FB0" w:rsidTr="00FF16C7">
        <w:trPr>
          <w:trHeight w:val="523"/>
          <w:tblCellSpacing w:w="15" w:type="dxa"/>
        </w:trPr>
        <w:tc>
          <w:tcPr>
            <w:tcW w:w="0" w:type="auto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Writing</w:t>
            </w:r>
          </w:p>
        </w:tc>
        <w:tc>
          <w:tcPr>
            <w:tcW w:w="2160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38%</w:t>
            </w:r>
          </w:p>
        </w:tc>
        <w:tc>
          <w:tcPr>
            <w:tcW w:w="2423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23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408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20%</w:t>
            </w:r>
          </w:p>
        </w:tc>
      </w:tr>
      <w:tr w:rsidR="00FF16C7" w:rsidRPr="00751FB0" w:rsidTr="00FF16C7">
        <w:trPr>
          <w:trHeight w:val="523"/>
          <w:tblCellSpacing w:w="15" w:type="dxa"/>
        </w:trPr>
        <w:tc>
          <w:tcPr>
            <w:tcW w:w="0" w:type="auto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Maths</w:t>
            </w:r>
          </w:p>
        </w:tc>
        <w:tc>
          <w:tcPr>
            <w:tcW w:w="2160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34%</w:t>
            </w:r>
          </w:p>
        </w:tc>
        <w:tc>
          <w:tcPr>
            <w:tcW w:w="2423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8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%</w:t>
            </w:r>
          </w:p>
        </w:tc>
        <w:tc>
          <w:tcPr>
            <w:tcW w:w="2408" w:type="dxa"/>
            <w:vAlign w:val="center"/>
            <w:hideMark/>
          </w:tcPr>
          <w:p w:rsidR="00FF16C7" w:rsidRPr="00751FB0" w:rsidRDefault="00FF16C7" w:rsidP="00FF16C7">
            <w:pPr>
              <w:spacing w:after="0" w:line="42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7</w:t>
            </w:r>
            <w:r w:rsidRPr="00751FB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%</w:t>
            </w:r>
          </w:p>
        </w:tc>
      </w:tr>
    </w:tbl>
    <w:p w:rsidR="00417DFA" w:rsidRPr="00417DFA" w:rsidRDefault="006C16CB" w:rsidP="00417DFA">
      <w:pPr>
        <w:spacing w:before="300" w:line="42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6C16CB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2019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="00417DFA" w:rsidRPr="00417DF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Key Stage </w:t>
      </w:r>
      <w:r w:rsidR="0098335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2 </w:t>
      </w:r>
      <w:r w:rsidR="0014377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working at </w:t>
      </w:r>
      <w:r w:rsidR="0000718E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‘</w:t>
      </w:r>
      <w:r w:rsidR="00143777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gr</w:t>
      </w:r>
      <w:r w:rsidR="0000718E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eater depth’ within the standard</w:t>
      </w:r>
      <w:r w:rsidR="00417DFA" w:rsidRPr="00417DF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:</w:t>
      </w:r>
    </w:p>
    <w:p w:rsidR="00417DFA" w:rsidRDefault="00417DFA" w:rsidP="00417DFA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:rsidR="00417DFA" w:rsidRDefault="00417DFA" w:rsidP="00417DFA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:rsidR="00417DFA" w:rsidRPr="00417DFA" w:rsidRDefault="00417DFA" w:rsidP="00417DFA">
      <w:pPr>
        <w:spacing w:before="300" w:after="0" w:line="42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417DF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lastRenderedPageBreak/>
        <w:t>Progress from Key Stage 1 to Key Stage 2</w:t>
      </w:r>
      <w:r w:rsidR="00A57E3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="00F257FC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w</w:t>
      </w:r>
      <w:r w:rsid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h</w:t>
      </w:r>
      <w:r w:rsidR="00F257FC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ere 0 is expected progress an</w:t>
      </w:r>
      <w:r w:rsidR="00A57E3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d</w:t>
      </w:r>
      <w:r w:rsidR="006C16C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the measure is from -10 to 10 </w:t>
      </w:r>
      <w:r w:rsidR="006C16CB" w:rsidRPr="006C16CB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(2019)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589"/>
        <w:gridCol w:w="2126"/>
        <w:gridCol w:w="1843"/>
        <w:gridCol w:w="1843"/>
      </w:tblGrid>
      <w:tr w:rsidR="00A0409A" w:rsidTr="0031048B">
        <w:trPr>
          <w:trHeight w:val="946"/>
        </w:trPr>
        <w:tc>
          <w:tcPr>
            <w:tcW w:w="1605" w:type="dxa"/>
          </w:tcPr>
          <w:p w:rsidR="00A0409A" w:rsidRDefault="00A0409A" w:rsidP="005411B6">
            <w:pPr>
              <w:spacing w:before="120" w:after="120" w:line="420" w:lineRule="auto"/>
              <w:ind w:left="75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</w:p>
        </w:tc>
        <w:tc>
          <w:tcPr>
            <w:tcW w:w="1589" w:type="dxa"/>
          </w:tcPr>
          <w:p w:rsidR="00A0409A" w:rsidRDefault="00A0409A" w:rsidP="005411B6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School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br/>
              <w:t xml:space="preserve">     (2019)</w:t>
            </w:r>
          </w:p>
        </w:tc>
        <w:tc>
          <w:tcPr>
            <w:tcW w:w="2126" w:type="dxa"/>
          </w:tcPr>
          <w:p w:rsidR="00A0409A" w:rsidRDefault="00A0409A" w:rsidP="005411B6">
            <w:pPr>
              <w:spacing w:before="120" w:after="120" w:line="420" w:lineRule="auto"/>
              <w:ind w:left="327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Local Authority (2019)</w:t>
            </w:r>
          </w:p>
        </w:tc>
        <w:tc>
          <w:tcPr>
            <w:tcW w:w="1843" w:type="dxa"/>
          </w:tcPr>
          <w:p w:rsidR="00A0409A" w:rsidRDefault="00A0409A" w:rsidP="005411B6">
            <w:pPr>
              <w:spacing w:before="120" w:after="120" w:line="420" w:lineRule="auto"/>
              <w:ind w:left="147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National (2019)</w:t>
            </w:r>
          </w:p>
        </w:tc>
        <w:tc>
          <w:tcPr>
            <w:tcW w:w="1843" w:type="dxa"/>
          </w:tcPr>
          <w:p w:rsidR="00A0409A" w:rsidRDefault="00A0409A" w:rsidP="005411B6">
            <w:pPr>
              <w:spacing w:before="120" w:after="120" w:line="420" w:lineRule="auto"/>
              <w:ind w:left="147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National percentile </w:t>
            </w:r>
          </w:p>
        </w:tc>
      </w:tr>
      <w:tr w:rsidR="00A0409A" w:rsidTr="0031048B">
        <w:trPr>
          <w:trHeight w:val="675"/>
        </w:trPr>
        <w:tc>
          <w:tcPr>
            <w:tcW w:w="1605" w:type="dxa"/>
          </w:tcPr>
          <w:p w:rsidR="00A0409A" w:rsidRDefault="00A0409A" w:rsidP="005411B6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Reading</w:t>
            </w:r>
          </w:p>
        </w:tc>
        <w:tc>
          <w:tcPr>
            <w:tcW w:w="1589" w:type="dxa"/>
          </w:tcPr>
          <w:p w:rsidR="00A0409A" w:rsidRDefault="00A0409A" w:rsidP="005411B6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    5.2</w:t>
            </w:r>
          </w:p>
        </w:tc>
        <w:tc>
          <w:tcPr>
            <w:tcW w:w="2126" w:type="dxa"/>
          </w:tcPr>
          <w:p w:rsidR="00A0409A" w:rsidRDefault="00A0409A" w:rsidP="005411B6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        0.8</w:t>
            </w:r>
          </w:p>
        </w:tc>
        <w:tc>
          <w:tcPr>
            <w:tcW w:w="1843" w:type="dxa"/>
          </w:tcPr>
          <w:p w:rsidR="00A0409A" w:rsidRDefault="00A0409A" w:rsidP="005411B6">
            <w:pPr>
              <w:spacing w:before="120" w:after="120" w:line="420" w:lineRule="auto"/>
              <w:ind w:left="672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0.0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0409A" w:rsidRDefault="00A0409A" w:rsidP="00A0409A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Top 5%</w:t>
            </w:r>
          </w:p>
        </w:tc>
      </w:tr>
      <w:tr w:rsidR="00A0409A" w:rsidTr="0031048B">
        <w:trPr>
          <w:trHeight w:val="450"/>
        </w:trPr>
        <w:tc>
          <w:tcPr>
            <w:tcW w:w="1605" w:type="dxa"/>
          </w:tcPr>
          <w:p w:rsidR="00A0409A" w:rsidRDefault="00A0409A" w:rsidP="005411B6">
            <w:pPr>
              <w:spacing w:before="120" w:after="120" w:line="420" w:lineRule="auto"/>
              <w:ind w:left="75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Writing</w:t>
            </w:r>
          </w:p>
        </w:tc>
        <w:tc>
          <w:tcPr>
            <w:tcW w:w="1589" w:type="dxa"/>
          </w:tcPr>
          <w:p w:rsidR="00A0409A" w:rsidRDefault="00A0409A" w:rsidP="005411B6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    3.9</w:t>
            </w:r>
          </w:p>
        </w:tc>
        <w:tc>
          <w:tcPr>
            <w:tcW w:w="2126" w:type="dxa"/>
          </w:tcPr>
          <w:p w:rsidR="00A0409A" w:rsidRDefault="00A0409A" w:rsidP="00A0409A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        1.2</w:t>
            </w:r>
          </w:p>
        </w:tc>
        <w:tc>
          <w:tcPr>
            <w:tcW w:w="1843" w:type="dxa"/>
          </w:tcPr>
          <w:p w:rsidR="00A0409A" w:rsidRDefault="00A0409A" w:rsidP="005411B6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      0.0</w:t>
            </w:r>
          </w:p>
        </w:tc>
        <w:tc>
          <w:tcPr>
            <w:tcW w:w="1843" w:type="dxa"/>
          </w:tcPr>
          <w:p w:rsidR="00A0409A" w:rsidRDefault="00A0409A" w:rsidP="00A0409A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Top 5%</w:t>
            </w:r>
          </w:p>
        </w:tc>
      </w:tr>
      <w:tr w:rsidR="00A0409A" w:rsidTr="0031048B">
        <w:trPr>
          <w:trHeight w:val="915"/>
        </w:trPr>
        <w:tc>
          <w:tcPr>
            <w:tcW w:w="1605" w:type="dxa"/>
          </w:tcPr>
          <w:p w:rsidR="00A0409A" w:rsidRDefault="00A0409A" w:rsidP="005411B6">
            <w:pPr>
              <w:spacing w:before="120" w:after="120" w:line="420" w:lineRule="auto"/>
              <w:ind w:left="75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proofErr w:type="spellStart"/>
            <w:r w:rsidRPr="00417DF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Maths</w:t>
            </w:r>
            <w:proofErr w:type="spellEnd"/>
          </w:p>
        </w:tc>
        <w:tc>
          <w:tcPr>
            <w:tcW w:w="1589" w:type="dxa"/>
          </w:tcPr>
          <w:p w:rsidR="00A0409A" w:rsidRDefault="00A0409A" w:rsidP="005411B6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    4.3</w:t>
            </w:r>
          </w:p>
        </w:tc>
        <w:tc>
          <w:tcPr>
            <w:tcW w:w="2126" w:type="dxa"/>
          </w:tcPr>
          <w:p w:rsidR="00A0409A" w:rsidRDefault="00A0409A" w:rsidP="00A0409A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 xml:space="preserve">             1.0</w:t>
            </w:r>
          </w:p>
        </w:tc>
        <w:tc>
          <w:tcPr>
            <w:tcW w:w="1843" w:type="dxa"/>
          </w:tcPr>
          <w:p w:rsidR="00A0409A" w:rsidRDefault="00A0409A" w:rsidP="005411B6">
            <w:pPr>
              <w:spacing w:before="120" w:after="120" w:line="420" w:lineRule="auto"/>
              <w:ind w:left="732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0.0</w:t>
            </w:r>
          </w:p>
        </w:tc>
        <w:tc>
          <w:tcPr>
            <w:tcW w:w="1843" w:type="dxa"/>
          </w:tcPr>
          <w:p w:rsidR="00A0409A" w:rsidRDefault="00A0409A" w:rsidP="00A0409A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GB"/>
              </w:rPr>
              <w:t>Top 5%</w:t>
            </w:r>
          </w:p>
        </w:tc>
      </w:tr>
    </w:tbl>
    <w:p w:rsidR="00E22F2A" w:rsidRDefault="00E22F2A" w:rsidP="00417DFA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:rsidR="00E22F2A" w:rsidRPr="006C16CB" w:rsidRDefault="00E22F2A" w:rsidP="00E22F2A">
      <w:pPr>
        <w:spacing w:before="120" w:after="120" w:line="42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A0409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The average scaled score for the Key Stage Two children is as follows, remember that 100 is the ‘expected’ scale score and 110</w:t>
      </w:r>
      <w:r w:rsidR="00A0409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or above</w:t>
      </w:r>
      <w:r w:rsidRPr="00A0409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shows that the children are working </w:t>
      </w:r>
      <w:r w:rsidR="00A0409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at </w:t>
      </w:r>
      <w:r w:rsidRPr="00A0409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greater </w:t>
      </w:r>
      <w:r w:rsidR="002610A1" w:rsidRPr="00A0409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depth.</w:t>
      </w:r>
      <w:r w:rsidR="006C3F9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r w:rsidR="006C16C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br/>
      </w:r>
      <w:r w:rsidR="006C3F9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      </w:t>
      </w:r>
      <w:r w:rsidR="006C3F9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</w:r>
      <w:r w:rsidR="005411B6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 </w:t>
      </w:r>
      <w:r w:rsidR="006C3F9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</w:r>
      <w:r w:rsidR="006C3F9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ab/>
        <w:t xml:space="preserve"> </w:t>
      </w:r>
    </w:p>
    <w:tbl>
      <w:tblPr>
        <w:tblW w:w="7730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872"/>
        <w:gridCol w:w="2127"/>
        <w:gridCol w:w="2126"/>
      </w:tblGrid>
      <w:tr w:rsidR="005411B6" w:rsidRPr="002610A1" w:rsidTr="006C16CB">
        <w:trPr>
          <w:trHeight w:val="946"/>
        </w:trPr>
        <w:tc>
          <w:tcPr>
            <w:tcW w:w="1605" w:type="dxa"/>
          </w:tcPr>
          <w:p w:rsidR="005411B6" w:rsidRPr="002610A1" w:rsidRDefault="005411B6" w:rsidP="005411B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872" w:type="dxa"/>
          </w:tcPr>
          <w:p w:rsidR="005411B6" w:rsidRPr="002610A1" w:rsidRDefault="005411B6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School</w:t>
            </w:r>
            <w:r w:rsidR="002610A1" w:rsidRPr="002610A1">
              <w:rPr>
                <w:rFonts w:ascii="Arial" w:hAnsi="Arial" w:cs="Arial"/>
                <w:sz w:val="23"/>
                <w:szCs w:val="23"/>
                <w:lang w:val="en-US"/>
              </w:rPr>
              <w:br/>
              <w:t xml:space="preserve"> (2019)</w:t>
            </w:r>
          </w:p>
        </w:tc>
        <w:tc>
          <w:tcPr>
            <w:tcW w:w="2127" w:type="dxa"/>
          </w:tcPr>
          <w:p w:rsidR="005411B6" w:rsidRPr="002610A1" w:rsidRDefault="005411B6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 xml:space="preserve">Local Authority </w:t>
            </w:r>
            <w:r w:rsidR="00A0409A">
              <w:rPr>
                <w:rFonts w:ascii="Arial" w:hAnsi="Arial" w:cs="Arial"/>
                <w:sz w:val="23"/>
                <w:szCs w:val="23"/>
                <w:lang w:val="en-US"/>
              </w:rPr>
              <w:t>(2019</w:t>
            </w: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)</w:t>
            </w:r>
          </w:p>
        </w:tc>
        <w:tc>
          <w:tcPr>
            <w:tcW w:w="2126" w:type="dxa"/>
          </w:tcPr>
          <w:p w:rsidR="005411B6" w:rsidRPr="002610A1" w:rsidRDefault="005411B6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 xml:space="preserve">National </w:t>
            </w:r>
            <w:r w:rsidR="00A0409A">
              <w:rPr>
                <w:rFonts w:ascii="Arial" w:hAnsi="Arial" w:cs="Arial"/>
                <w:sz w:val="23"/>
                <w:szCs w:val="23"/>
                <w:lang w:val="en-US"/>
              </w:rPr>
              <w:br/>
              <w:t>(2019</w:t>
            </w: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)</w:t>
            </w:r>
          </w:p>
        </w:tc>
      </w:tr>
      <w:tr w:rsidR="005411B6" w:rsidRPr="002610A1" w:rsidTr="006C16CB">
        <w:trPr>
          <w:trHeight w:val="675"/>
        </w:trPr>
        <w:tc>
          <w:tcPr>
            <w:tcW w:w="1605" w:type="dxa"/>
          </w:tcPr>
          <w:p w:rsidR="005411B6" w:rsidRPr="002610A1" w:rsidRDefault="005411B6" w:rsidP="005411B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 xml:space="preserve"> Reading</w:t>
            </w:r>
          </w:p>
        </w:tc>
        <w:tc>
          <w:tcPr>
            <w:tcW w:w="1872" w:type="dxa"/>
          </w:tcPr>
          <w:p w:rsidR="005411B6" w:rsidRPr="002610A1" w:rsidRDefault="002610A1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108.6</w:t>
            </w:r>
          </w:p>
        </w:tc>
        <w:tc>
          <w:tcPr>
            <w:tcW w:w="2127" w:type="dxa"/>
          </w:tcPr>
          <w:p w:rsidR="005411B6" w:rsidRPr="002610A1" w:rsidRDefault="00A0409A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104.9</w:t>
            </w:r>
          </w:p>
        </w:tc>
        <w:tc>
          <w:tcPr>
            <w:tcW w:w="2126" w:type="dxa"/>
          </w:tcPr>
          <w:p w:rsidR="005411B6" w:rsidRPr="002610A1" w:rsidRDefault="00A0409A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104</w:t>
            </w:r>
          </w:p>
        </w:tc>
      </w:tr>
      <w:tr w:rsidR="005411B6" w:rsidRPr="002610A1" w:rsidTr="006C16CB">
        <w:trPr>
          <w:trHeight w:val="450"/>
        </w:trPr>
        <w:tc>
          <w:tcPr>
            <w:tcW w:w="1605" w:type="dxa"/>
          </w:tcPr>
          <w:p w:rsidR="005411B6" w:rsidRPr="002610A1" w:rsidRDefault="002610A1" w:rsidP="005411B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Spelling, Punctuation &amp; G</w:t>
            </w: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rammar</w:t>
            </w:r>
          </w:p>
        </w:tc>
        <w:tc>
          <w:tcPr>
            <w:tcW w:w="1872" w:type="dxa"/>
          </w:tcPr>
          <w:p w:rsidR="005411B6" w:rsidRPr="002610A1" w:rsidRDefault="002610A1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109.8</w:t>
            </w:r>
          </w:p>
        </w:tc>
        <w:tc>
          <w:tcPr>
            <w:tcW w:w="2127" w:type="dxa"/>
          </w:tcPr>
          <w:p w:rsidR="005411B6" w:rsidRPr="002610A1" w:rsidRDefault="002610A1" w:rsidP="00A0409A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10</w:t>
            </w:r>
            <w:r w:rsidR="00A0409A">
              <w:rPr>
                <w:rFonts w:ascii="Arial" w:hAnsi="Arial" w:cs="Arial"/>
                <w:sz w:val="23"/>
                <w:szCs w:val="23"/>
                <w:lang w:val="en-US"/>
              </w:rPr>
              <w:t>7</w:t>
            </w:r>
          </w:p>
        </w:tc>
        <w:tc>
          <w:tcPr>
            <w:tcW w:w="2126" w:type="dxa"/>
          </w:tcPr>
          <w:p w:rsidR="005411B6" w:rsidRPr="002610A1" w:rsidRDefault="002610A1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106</w:t>
            </w:r>
          </w:p>
        </w:tc>
      </w:tr>
      <w:tr w:rsidR="005411B6" w:rsidRPr="002610A1" w:rsidTr="006C16CB">
        <w:trPr>
          <w:trHeight w:val="915"/>
        </w:trPr>
        <w:tc>
          <w:tcPr>
            <w:tcW w:w="1605" w:type="dxa"/>
          </w:tcPr>
          <w:p w:rsidR="005411B6" w:rsidRPr="002610A1" w:rsidRDefault="005411B6" w:rsidP="005411B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proofErr w:type="spellStart"/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Maths</w:t>
            </w:r>
            <w:proofErr w:type="spellEnd"/>
          </w:p>
        </w:tc>
        <w:tc>
          <w:tcPr>
            <w:tcW w:w="1872" w:type="dxa"/>
          </w:tcPr>
          <w:p w:rsidR="005411B6" w:rsidRPr="002610A1" w:rsidRDefault="002610A1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108.3</w:t>
            </w:r>
          </w:p>
        </w:tc>
        <w:tc>
          <w:tcPr>
            <w:tcW w:w="2127" w:type="dxa"/>
          </w:tcPr>
          <w:p w:rsidR="005411B6" w:rsidRPr="002610A1" w:rsidRDefault="002610A1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2610A1">
              <w:rPr>
                <w:rFonts w:ascii="Arial" w:hAnsi="Arial" w:cs="Arial"/>
                <w:sz w:val="23"/>
                <w:szCs w:val="23"/>
                <w:lang w:val="en-US"/>
              </w:rPr>
              <w:t>105</w:t>
            </w:r>
            <w:r w:rsidR="00A0409A">
              <w:rPr>
                <w:rFonts w:ascii="Arial" w:hAnsi="Arial" w:cs="Arial"/>
                <w:sz w:val="23"/>
                <w:szCs w:val="23"/>
                <w:lang w:val="en-US"/>
              </w:rPr>
              <w:t>.6</w:t>
            </w:r>
          </w:p>
        </w:tc>
        <w:tc>
          <w:tcPr>
            <w:tcW w:w="2126" w:type="dxa"/>
          </w:tcPr>
          <w:p w:rsidR="005411B6" w:rsidRPr="002610A1" w:rsidRDefault="00A0409A" w:rsidP="002610A1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105</w:t>
            </w:r>
          </w:p>
        </w:tc>
      </w:tr>
    </w:tbl>
    <w:p w:rsidR="00B06E2F" w:rsidRPr="002610A1" w:rsidRDefault="00DD23C1">
      <w:pPr>
        <w:rPr>
          <w:rFonts w:ascii="Arial" w:hAnsi="Arial" w:cs="Arial"/>
        </w:rPr>
      </w:pPr>
    </w:p>
    <w:sectPr w:rsidR="00B06E2F" w:rsidRPr="0026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0F86"/>
    <w:multiLevelType w:val="multilevel"/>
    <w:tmpl w:val="8F64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A"/>
    <w:rsid w:val="0000718E"/>
    <w:rsid w:val="00105ACE"/>
    <w:rsid w:val="00143777"/>
    <w:rsid w:val="001D5355"/>
    <w:rsid w:val="002610A1"/>
    <w:rsid w:val="00320165"/>
    <w:rsid w:val="004102A9"/>
    <w:rsid w:val="004143BC"/>
    <w:rsid w:val="00417DFA"/>
    <w:rsid w:val="004D7CB9"/>
    <w:rsid w:val="005411B6"/>
    <w:rsid w:val="006C16CB"/>
    <w:rsid w:val="006C3F9B"/>
    <w:rsid w:val="00751FB0"/>
    <w:rsid w:val="007706E2"/>
    <w:rsid w:val="007A0D20"/>
    <w:rsid w:val="008209BF"/>
    <w:rsid w:val="0098335B"/>
    <w:rsid w:val="00A0409A"/>
    <w:rsid w:val="00A57E38"/>
    <w:rsid w:val="00B0799D"/>
    <w:rsid w:val="00C4392D"/>
    <w:rsid w:val="00D60BDC"/>
    <w:rsid w:val="00E02C07"/>
    <w:rsid w:val="00E22F2A"/>
    <w:rsid w:val="00F257FC"/>
    <w:rsid w:val="00F3308A"/>
    <w:rsid w:val="00F45505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2F6A2-6822-4569-B19B-1C12D1E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B6"/>
  </w:style>
  <w:style w:type="paragraph" w:styleId="Heading2">
    <w:name w:val="heading 2"/>
    <w:basedOn w:val="Normal"/>
    <w:link w:val="Heading2Char"/>
    <w:uiPriority w:val="9"/>
    <w:qFormat/>
    <w:rsid w:val="00417DFA"/>
    <w:pPr>
      <w:spacing w:before="300" w:after="0" w:line="240" w:lineRule="auto"/>
      <w:outlineLvl w:val="1"/>
    </w:pPr>
    <w:rPr>
      <w:rFonts w:ascii="Arial" w:eastAsia="Times New Roman" w:hAnsi="Arial" w:cs="Arial"/>
      <w:color w:val="000000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17DFA"/>
    <w:pPr>
      <w:spacing w:before="300" w:after="0" w:line="240" w:lineRule="auto"/>
      <w:outlineLvl w:val="3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DFA"/>
    <w:rPr>
      <w:rFonts w:ascii="Arial" w:eastAsia="Times New Roman" w:hAnsi="Arial" w:cs="Arial"/>
      <w:color w:val="000000"/>
      <w:sz w:val="33"/>
      <w:szCs w:val="33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17DFA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7DFA"/>
    <w:rPr>
      <w:color w:val="000000"/>
      <w:u w:val="single"/>
    </w:rPr>
  </w:style>
  <w:style w:type="paragraph" w:styleId="NoSpacing">
    <w:name w:val="No Spacing"/>
    <w:uiPriority w:val="1"/>
    <w:qFormat/>
    <w:rsid w:val="00E22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3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1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Sue</dc:creator>
  <cp:keywords/>
  <dc:description/>
  <cp:lastModifiedBy>Clift, D</cp:lastModifiedBy>
  <cp:revision>2</cp:revision>
  <cp:lastPrinted>2019-11-06T15:51:00Z</cp:lastPrinted>
  <dcterms:created xsi:type="dcterms:W3CDTF">2020-09-21T21:24:00Z</dcterms:created>
  <dcterms:modified xsi:type="dcterms:W3CDTF">2020-09-21T21:24:00Z</dcterms:modified>
</cp:coreProperties>
</file>